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宋体" w:hAnsi="宋体" w:cs="宋体" w:hint="eastAsia"/>
          <w:sz w:val="44"/>
          <w:szCs w:val="44"/>
        </w:rPr>
      </w:pP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both"/>
        <w:rPr>
          <w:rFonts w:ascii="宋体" w:hAnsi="宋体" w:cs="宋体" w:hint="eastAsia"/>
          <w:sz w:val="44"/>
          <w:szCs w:val="44"/>
        </w:rPr>
      </w:pP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关于向社会公开征求《杭州市申领排水许可证排水户名录》（征求意见稿）意见的公告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杭州市申领排水许可证排水户名录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（征求意见稿）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宋体" w:hAnsi="宋体" w:cs="宋体" w:hint="eastAsia"/>
          <w:sz w:val="32"/>
          <w:szCs w:val="32"/>
        </w:rPr>
      </w:pPr>
    </w:p>
    <w:p w:rsidR="00000000" w:rsidRDefault="002C0D54">
      <w:pPr>
        <w:widowControl/>
        <w:ind w:firstLineChars="200" w:firstLine="616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sz w:val="32"/>
          <w:szCs w:val="32"/>
        </w:rPr>
        <w:t>第一条</w:t>
      </w:r>
      <w:r>
        <w:rPr>
          <w:rFonts w:ascii="黑体" w:eastAsia="黑体" w:hAnsi="宋体" w:cs="黑体" w:hint="eastAsia"/>
          <w:spacing w:val="-6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为加强污水排入城镇排水管网管理，规范排水许可行为，保障城镇排水与污水处理设施安全运行，依据《杭州市排水管理办法》规定，结合深化行政审批制度改革和优化营商环境的要求，特制定本名录。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第二条</w:t>
      </w: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杭州市行政区域内向城镇公共排水设施排放污水的排水户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第三条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根据排水类型，排水户分为工业、工程建设、商业经营、医疗卫生、科研、汽车服务、洗涤、农贸市场、环卫固废、办公服务、居民等，共十一类。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第四条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工业类、工程建设类、商业经营类、医疗卫生类、科研类、汽车服务类、洗涤类、农贸市场类、环卫类排水户应办理排水许可证。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lastRenderedPageBreak/>
        <w:t>第五条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居民类排水户根据建设部《</w:t>
      </w:r>
      <w:r>
        <w:rPr>
          <w:rFonts w:ascii="仿宋_GB2312" w:eastAsia="仿宋_GB2312" w:hAnsi="仿宋" w:cs="仿宋_GB2312"/>
          <w:sz w:val="32"/>
          <w:szCs w:val="32"/>
        </w:rPr>
        <w:t>城镇污水排入排水管网许可管理办法</w:t>
      </w:r>
      <w:r>
        <w:rPr>
          <w:rFonts w:ascii="仿宋_GB2312" w:eastAsia="仿宋_GB2312" w:hAnsi="仿宋" w:cs="仿宋_GB2312" w:hint="eastAsia"/>
          <w:sz w:val="32"/>
          <w:szCs w:val="32"/>
        </w:rPr>
        <w:t>》可不办理排水许可证，但裙楼、底商及办公服务类除外；办公服务类排水户连续</w:t>
      </w: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个月月均用水量不超过</w:t>
      </w:r>
      <w:r>
        <w:rPr>
          <w:rFonts w:ascii="仿宋_GB2312" w:eastAsia="仿宋_GB2312" w:hAnsi="仿宋" w:cs="仿宋_GB2312" w:hint="eastAsia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sz w:val="32"/>
          <w:szCs w:val="32"/>
        </w:rPr>
        <w:t>吨的，可采用备案形式进行管理。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第六条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处于新建、改建、扩建阶段的各类排</w:t>
      </w:r>
      <w:r>
        <w:rPr>
          <w:rFonts w:ascii="仿宋_GB2312" w:eastAsia="仿宋_GB2312" w:hAnsi="仿宋" w:cs="仿宋_GB2312" w:hint="eastAsia"/>
          <w:sz w:val="32"/>
          <w:szCs w:val="32"/>
        </w:rPr>
        <w:t>水户，建设单位应在项目开工前向区、县（市）排水主管部门申请办理接管手续，并按照排水工程设计要求建设排水设施，接管完成后再申领排水许可证。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第七条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排水户应严格雨、污分流，并按照国家和地方相关标准、规范设置隔油池、隔油沉砂池、沉淀池、格栅井等预处理设施，预处理设施规模应当与污水排放量相匹配。工业类排水户应根据排水量大小、水质情况采用相应的污水处理工艺。</w:t>
      </w:r>
    </w:p>
    <w:p w:rsidR="00000000" w:rsidRDefault="002C0D54">
      <w:pPr>
        <w:autoSpaceDE w:val="0"/>
        <w:autoSpaceDN w:val="0"/>
        <w:adjustRightInd w:val="0"/>
        <w:spacing w:line="360" w:lineRule="auto"/>
        <w:ind w:firstLineChars="200" w:firstLine="616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宋体" w:cs="黑体" w:hint="eastAsia"/>
          <w:spacing w:val="-6"/>
          <w:sz w:val="32"/>
          <w:szCs w:val="32"/>
        </w:rPr>
        <w:t>第八条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排水户内部排水设施及预处理设施的管理养护按照“谁所有、谁管理、谁收益、谁负责”的原则，由排水设施的产权人负责，并按照相关行业标准定期进行清疏养护。</w:t>
      </w:r>
    </w:p>
    <w:p w:rsidR="00000000" w:rsidRDefault="002C0D54">
      <w:pPr>
        <w:widowControl/>
        <w:ind w:firstLineChars="200" w:firstLine="616"/>
        <w:jc w:val="left"/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</w:pPr>
      <w:r>
        <w:rPr>
          <w:rFonts w:ascii="黑体" w:eastAsia="黑体" w:hAnsi="宋体" w:cs="黑体" w:hint="eastAsia"/>
          <w:spacing w:val="-6"/>
          <w:sz w:val="32"/>
          <w:szCs w:val="32"/>
        </w:rPr>
        <w:t>第九条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各区、县（市）要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建立完善排水许可及备案管理制度，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根据排水户分类名录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建立辖区范围内排水用户管理档案，完善用户信息库，实现辖区范围内排水用户全覆盖管理。</w:t>
      </w:r>
    </w:p>
    <w:p w:rsidR="00000000" w:rsidRDefault="002C0D54">
      <w:pPr>
        <w:widowControl/>
        <w:ind w:firstLineChars="200" w:firstLine="616"/>
        <w:jc w:val="left"/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宋体" w:cs="黑体" w:hint="eastAsia"/>
          <w:spacing w:val="-6"/>
          <w:sz w:val="32"/>
          <w:szCs w:val="32"/>
        </w:rPr>
        <w:lastRenderedPageBreak/>
        <w:t>第十条</w:t>
      </w:r>
      <w:r>
        <w:rPr>
          <w:rFonts w:ascii="黑体" w:eastAsia="黑体" w:hAnsi="宋体" w:cs="黑体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各区、县（市）要按照排水行为影响公共排水设施安全运行的程度影响，划分重点排水户和一般排水户，确定监督检查频次并组织开展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进网水质监管，对排水用户超标排水行为要及时通过执法进行调查处理。</w:t>
      </w:r>
    </w:p>
    <w:p w:rsidR="00000000" w:rsidRDefault="002C0D54">
      <w:pPr>
        <w:autoSpaceDE w:val="0"/>
        <w:autoSpaceDN w:val="0"/>
        <w:adjustRightInd w:val="0"/>
        <w:spacing w:line="360" w:lineRule="auto"/>
        <w:ind w:firstLineChars="200" w:firstLine="616"/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</w:pPr>
      <w:r>
        <w:rPr>
          <w:rFonts w:ascii="黑体" w:eastAsia="黑体" w:hAnsi="宋体" w:cs="黑体" w:hint="eastAsia"/>
          <w:spacing w:val="-6"/>
          <w:sz w:val="32"/>
          <w:szCs w:val="32"/>
        </w:rPr>
        <w:t>第十一条</w:t>
      </w:r>
      <w:r>
        <w:rPr>
          <w:rFonts w:ascii="黑体" w:eastAsia="黑体" w:hAnsi="宋体" w:cs="黑体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各区、县（市）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要对当年受检用户内部管网雨、污分流情况检查不得少于一次，对存在混接、错接情况的，要督促整改并移送执法查处，同时做好相关规范排水知识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的告知服务工作，提升用户规范排水意识。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ind w:firstLineChars="200" w:firstLine="616"/>
        <w:jc w:val="both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2"/>
          <w:sz w:val="32"/>
          <w:szCs w:val="32"/>
        </w:rPr>
        <w:t>第十二条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各区、县（市）要根据排水户分类管理要求，制定各自辖区的管理手册和服务手册，并进行公示；积极做好排水户排水知识的宣传及排水行为的引导和服务工作。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both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both"/>
        <w:rPr>
          <w:rFonts w:ascii="仿宋_GB2312" w:eastAsia="仿宋_GB2312" w:hAnsi="仿宋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附</w:t>
      </w:r>
    </w:p>
    <w:p w:rsidR="00000000" w:rsidRDefault="002C0D54">
      <w:pPr>
        <w:pStyle w:val="a6"/>
        <w:widowControl/>
        <w:spacing w:before="0" w:beforeAutospacing="0" w:after="0" w:afterAutospacing="0" w:line="330" w:lineRule="atLeast"/>
        <w:jc w:val="center"/>
        <w:rPr>
          <w:rFonts w:ascii="仿宋_GB2312" w:eastAsia="仿宋_GB2312" w:hAnsi="仿宋" w:cs="仿宋_GB2312" w:hint="eastAsia"/>
          <w:color w:val="000000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排水户分类及申领排水许可证名录</w:t>
      </w:r>
    </w:p>
    <w:tbl>
      <w:tblPr>
        <w:tblW w:w="88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61"/>
        <w:gridCol w:w="1071"/>
        <w:gridCol w:w="1923"/>
        <w:gridCol w:w="2591"/>
        <w:gridCol w:w="1213"/>
        <w:gridCol w:w="1364"/>
      </w:tblGrid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排水户分类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定义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核发许可证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备案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一般预处理要求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工业类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是指从事工业生产及加工等生产活动。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排放生产加工过程产生的废水的各类工业企业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、集中式工业园区等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格栅井（栅间距不大于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25mm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工程建设类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是指从事各类工程建设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施工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排放施工场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地内降雨径流、施工作业废水、抽排地下水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临时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生活区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生活污水、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食堂污水等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三级沉淀池、化粪池和隔油池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3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商业经营类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提供商业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住宿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、餐饮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等经营性活动的。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含商业综合体、商业中心，各类餐饮经营性服务单位，各类宾馆、酒店、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民宿、旅馆等。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隔油池、化粪池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医疗卫生类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是指从事医疗、医疗美容、卫生防疫、医疗保健、健康体检、检验（化验）等活动。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排放医疗污水的综合医院、专科医院、中医医院、妇儿医院、检验（化验）中心、卫生防疫站、疗养保健院、疾病预防控制中心、医学美容整形医院等。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消毒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5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科研类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是指从事科学实验、试验、检测等活动。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排放化学、生物实验（试验、检测）废水的高校、科研机构及企事业单位。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消毒池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汽车服务类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是指从事机动车维护修理、加油及洗车等经营性活动。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提供维修服务的汽修厂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、洗车店、汽车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4S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店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、加油站等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隔油沉砂池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7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洗涤类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是指从事洗涤餐具衣物、桑拿、洗浴等经营性活动。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含各类洗浴、理发、美容服务、洗衣、餐具洗涤、宠物洗浴等。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毛发分离设施（毛发收集器）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农贸市场服务类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是指从事农副产品、水产品交易活动或提供交易场所的经营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活动。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含农贸市场、生鲜超市等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格栅井（栅间距不大于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25mm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环卫固废类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是指从事垃圾收集、分类、中转、处理、回收及污泥处理、处置等活动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含垃圾处理场（环卫站）、污泥处理场、公共厕所等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小型环卫中转站、公共厕所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格栅井、沉淀池、化粪池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办公服务类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是指提供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各类机关办公、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服务如零售、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银行等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活动场所的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办公服务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活动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机关事业单位、无生物和化学实验室学校、部队、写字楼、超市、银行、零售店等。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2"/>
                <w:sz w:val="21"/>
                <w:szCs w:val="21"/>
              </w:rPr>
              <w:t>月用水量不超过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2"/>
                <w:sz w:val="21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2"/>
                <w:sz w:val="21"/>
                <w:szCs w:val="21"/>
              </w:rPr>
              <w:t>吨的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办公服务类排水户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隔油池、化粪池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居民类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是指小区、公寓、宿舍等排水户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  <w:t>所有居民类排水户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2C0D5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化粪池</w:t>
            </w:r>
          </w:p>
        </w:tc>
      </w:tr>
    </w:tbl>
    <w:p w:rsidR="002C0D54" w:rsidRDefault="002C0D54">
      <w:pPr>
        <w:pStyle w:val="a6"/>
        <w:widowControl/>
        <w:spacing w:before="0" w:beforeAutospacing="0" w:after="0" w:afterAutospacing="0" w:line="330" w:lineRule="atLeast"/>
        <w:jc w:val="both"/>
        <w:rPr>
          <w:rFonts w:ascii="仿宋_GB2312" w:eastAsia="仿宋_GB2312" w:hAnsi="仿宋" w:cs="仿宋_GB2312"/>
          <w:color w:val="000000"/>
          <w:sz w:val="28"/>
          <w:szCs w:val="28"/>
        </w:rPr>
      </w:pPr>
    </w:p>
    <w:sectPr w:rsidR="002C0D5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54" w:rsidRDefault="002C0D54" w:rsidP="00BE2E22">
      <w:r>
        <w:separator/>
      </w:r>
    </w:p>
  </w:endnote>
  <w:endnote w:type="continuationSeparator" w:id="1">
    <w:p w:rsidR="002C0D54" w:rsidRDefault="002C0D54" w:rsidP="00BE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54" w:rsidRDefault="002C0D54" w:rsidP="00BE2E22">
      <w:r>
        <w:separator/>
      </w:r>
    </w:p>
  </w:footnote>
  <w:footnote w:type="continuationSeparator" w:id="1">
    <w:p w:rsidR="002C0D54" w:rsidRDefault="002C0D54" w:rsidP="00BE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E22"/>
    <w:rsid w:val="12F59C8F"/>
    <w:rsid w:val="1D9FB293"/>
    <w:rsid w:val="1FFE1A79"/>
    <w:rsid w:val="2678569C"/>
    <w:rsid w:val="2E7FC9BF"/>
    <w:rsid w:val="36BB75B3"/>
    <w:rsid w:val="37754BF7"/>
    <w:rsid w:val="37DCC9AE"/>
    <w:rsid w:val="38FF4275"/>
    <w:rsid w:val="3DFD0622"/>
    <w:rsid w:val="3FFF81D9"/>
    <w:rsid w:val="45ED6C82"/>
    <w:rsid w:val="497E81CB"/>
    <w:rsid w:val="56FF44F3"/>
    <w:rsid w:val="59B76F06"/>
    <w:rsid w:val="5BF59324"/>
    <w:rsid w:val="5CBEF152"/>
    <w:rsid w:val="5CFF38CB"/>
    <w:rsid w:val="5DE5E6AB"/>
    <w:rsid w:val="5F5F1677"/>
    <w:rsid w:val="5FB71AD9"/>
    <w:rsid w:val="5FEF2F95"/>
    <w:rsid w:val="5FFB639F"/>
    <w:rsid w:val="5FFD2FDA"/>
    <w:rsid w:val="5FFFA7F5"/>
    <w:rsid w:val="6CFF0949"/>
    <w:rsid w:val="6CFF84F1"/>
    <w:rsid w:val="6DBF42D2"/>
    <w:rsid w:val="6FFC2964"/>
    <w:rsid w:val="6FFEAEF4"/>
    <w:rsid w:val="73F7F944"/>
    <w:rsid w:val="775A8F76"/>
    <w:rsid w:val="77FF20BA"/>
    <w:rsid w:val="79ED9072"/>
    <w:rsid w:val="7B7D5C69"/>
    <w:rsid w:val="7BDBA7EE"/>
    <w:rsid w:val="7CEF6EE7"/>
    <w:rsid w:val="7CF74AF9"/>
    <w:rsid w:val="7E61B3CA"/>
    <w:rsid w:val="7EA67C7C"/>
    <w:rsid w:val="7EFBCF95"/>
    <w:rsid w:val="7F03078F"/>
    <w:rsid w:val="7F8BF082"/>
    <w:rsid w:val="7FACF765"/>
    <w:rsid w:val="7FBE9955"/>
    <w:rsid w:val="7FED000B"/>
    <w:rsid w:val="7FF1244D"/>
    <w:rsid w:val="7FFB5555"/>
    <w:rsid w:val="7FFE3752"/>
    <w:rsid w:val="8FF6CBAE"/>
    <w:rsid w:val="95FF24F6"/>
    <w:rsid w:val="99FF86CB"/>
    <w:rsid w:val="9DBFA4F3"/>
    <w:rsid w:val="ADF5BA4C"/>
    <w:rsid w:val="AF2B2B8C"/>
    <w:rsid w:val="B3EF0D0F"/>
    <w:rsid w:val="B57DECFB"/>
    <w:rsid w:val="B7AD43FD"/>
    <w:rsid w:val="B7B73D3C"/>
    <w:rsid w:val="B8FF49CA"/>
    <w:rsid w:val="B9D76152"/>
    <w:rsid w:val="BA6E41A7"/>
    <w:rsid w:val="BA7B23C6"/>
    <w:rsid w:val="BB961488"/>
    <w:rsid w:val="BBF86EF1"/>
    <w:rsid w:val="BBFF9463"/>
    <w:rsid w:val="BE7BEFFE"/>
    <w:rsid w:val="BEEF717E"/>
    <w:rsid w:val="BF57AA27"/>
    <w:rsid w:val="BFBE9051"/>
    <w:rsid w:val="BFBFC633"/>
    <w:rsid w:val="BFCF5E8A"/>
    <w:rsid w:val="BFEED6F8"/>
    <w:rsid w:val="BFFFB74B"/>
    <w:rsid w:val="BFFFF96A"/>
    <w:rsid w:val="CBDF68DF"/>
    <w:rsid w:val="CD5D52BF"/>
    <w:rsid w:val="CDF7F0C2"/>
    <w:rsid w:val="CFBBD102"/>
    <w:rsid w:val="CFBF2094"/>
    <w:rsid w:val="D3BE3BFF"/>
    <w:rsid w:val="D5FFC495"/>
    <w:rsid w:val="DE7E57C3"/>
    <w:rsid w:val="DE875B52"/>
    <w:rsid w:val="DEF70FC1"/>
    <w:rsid w:val="DEFF805A"/>
    <w:rsid w:val="DFD879DD"/>
    <w:rsid w:val="E5DB032F"/>
    <w:rsid w:val="E6E766FE"/>
    <w:rsid w:val="E7E494A8"/>
    <w:rsid w:val="E7FC6E62"/>
    <w:rsid w:val="EBAC0D45"/>
    <w:rsid w:val="EBFFD515"/>
    <w:rsid w:val="EEDFCFE4"/>
    <w:rsid w:val="EF1C04E4"/>
    <w:rsid w:val="EF57DB6D"/>
    <w:rsid w:val="EFE8D795"/>
    <w:rsid w:val="EFFF596E"/>
    <w:rsid w:val="EFFFCE45"/>
    <w:rsid w:val="F0FF953F"/>
    <w:rsid w:val="F2DEDDAA"/>
    <w:rsid w:val="F2FFE155"/>
    <w:rsid w:val="F34E43B3"/>
    <w:rsid w:val="F3D1F061"/>
    <w:rsid w:val="F3F9F8F3"/>
    <w:rsid w:val="F3FFAF1B"/>
    <w:rsid w:val="F5F0D8B8"/>
    <w:rsid w:val="F6A71BE7"/>
    <w:rsid w:val="F8A78252"/>
    <w:rsid w:val="F97721BC"/>
    <w:rsid w:val="F995DB14"/>
    <w:rsid w:val="F9E3B8EC"/>
    <w:rsid w:val="FADDBD69"/>
    <w:rsid w:val="FB7B020A"/>
    <w:rsid w:val="FBFB00E2"/>
    <w:rsid w:val="FC3FD269"/>
    <w:rsid w:val="FDBE32FE"/>
    <w:rsid w:val="FDFF9FD0"/>
    <w:rsid w:val="FE5D0119"/>
    <w:rsid w:val="FE9F28C1"/>
    <w:rsid w:val="FEA95495"/>
    <w:rsid w:val="FF5B8B09"/>
    <w:rsid w:val="FF7C4F83"/>
    <w:rsid w:val="FF7FCD8A"/>
    <w:rsid w:val="FFE56FF2"/>
    <w:rsid w:val="FFEFA9BA"/>
    <w:rsid w:val="FFFEA0CF"/>
    <w:rsid w:val="FFFECCA5"/>
    <w:rsid w:val="002C0D54"/>
    <w:rsid w:val="00B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默认段落字体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Char"/>
    <w:rsid w:val="00BE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2E22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E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E2E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</cp:revision>
  <cp:lastPrinted>2021-12-16T16:37:00Z</cp:lastPrinted>
  <dcterms:created xsi:type="dcterms:W3CDTF">2021-12-17T03:50:00Z</dcterms:created>
  <dcterms:modified xsi:type="dcterms:W3CDTF">2021-12-17T03:50:00Z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