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Times New Roman"/>
          <w:b/>
          <w:bCs/>
          <w:kern w:val="2"/>
          <w:sz w:val="36"/>
          <w:szCs w:val="36"/>
          <w:lang w:val="en-US" w:eastAsia="zh-CN" w:bidi="ar-SA"/>
        </w:rPr>
      </w:pPr>
    </w:p>
    <w:p>
      <w:pPr>
        <w:jc w:val="center"/>
        <w:rPr>
          <w:rFonts w:hint="eastAsia" w:ascii="仿宋_GB2312" w:hAnsi="宋体" w:eastAsia="仿宋_GB2312" w:cs="Times New Roman"/>
          <w:b/>
          <w:bCs/>
          <w:kern w:val="2"/>
          <w:sz w:val="36"/>
          <w:szCs w:val="36"/>
          <w:lang w:val="en-US" w:eastAsia="zh-CN" w:bidi="ar-SA"/>
        </w:rPr>
      </w:pPr>
    </w:p>
    <w:p>
      <w:pPr>
        <w:jc w:val="center"/>
        <w:rPr>
          <w:rFonts w:hint="eastAsia" w:ascii="仿宋_GB2312" w:hAnsi="宋体" w:eastAsia="仿宋_GB2312" w:cs="Times New Roman"/>
          <w:b/>
          <w:bCs/>
          <w:kern w:val="2"/>
          <w:sz w:val="36"/>
          <w:szCs w:val="36"/>
          <w:lang w:val="en-US" w:eastAsia="zh-CN" w:bidi="ar-SA"/>
        </w:rPr>
      </w:pPr>
    </w:p>
    <w:p>
      <w:pPr>
        <w:jc w:val="center"/>
        <w:rPr>
          <w:rFonts w:hint="default"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关于</w:t>
      </w:r>
      <w:r>
        <w:rPr>
          <w:rFonts w:hint="eastAsia" w:ascii="宋体" w:hAnsi="宋体" w:cs="宋体"/>
          <w:b/>
          <w:bCs/>
          <w:kern w:val="2"/>
          <w:sz w:val="36"/>
          <w:szCs w:val="36"/>
          <w:lang w:val="en-US" w:eastAsia="zh-CN" w:bidi="ar-SA"/>
        </w:rPr>
        <w:t>征求</w:t>
      </w:r>
      <w:r>
        <w:rPr>
          <w:rFonts w:hint="eastAsia" w:ascii="宋体" w:hAnsi="宋体" w:eastAsia="宋体" w:cs="宋体"/>
          <w:b/>
          <w:bCs/>
          <w:kern w:val="2"/>
          <w:sz w:val="36"/>
          <w:szCs w:val="36"/>
          <w:lang w:val="en-US" w:eastAsia="zh-CN" w:bidi="ar-SA"/>
        </w:rPr>
        <w:t>废止《杭州市区生活垃圾处理运营体制改革指导意见》</w:t>
      </w:r>
      <w:r>
        <w:rPr>
          <w:rFonts w:hint="eastAsia" w:ascii="宋体" w:hAnsi="宋体" w:cs="宋体"/>
          <w:b/>
          <w:bCs/>
          <w:kern w:val="2"/>
          <w:sz w:val="36"/>
          <w:szCs w:val="36"/>
          <w:lang w:val="en-US" w:eastAsia="zh-CN" w:bidi="ar-SA"/>
        </w:rPr>
        <w:t>文件意见</w:t>
      </w:r>
      <w:r>
        <w:rPr>
          <w:rFonts w:hint="eastAsia" w:ascii="宋体" w:hAnsi="宋体" w:eastAsia="宋体" w:cs="宋体"/>
          <w:b/>
          <w:bCs/>
          <w:kern w:val="2"/>
          <w:sz w:val="36"/>
          <w:szCs w:val="36"/>
          <w:lang w:val="en-US" w:eastAsia="zh-CN" w:bidi="ar-SA"/>
        </w:rPr>
        <w:t>的</w:t>
      </w:r>
      <w:r>
        <w:rPr>
          <w:rFonts w:hint="eastAsia" w:ascii="宋体" w:hAnsi="宋体" w:cs="宋体"/>
          <w:b/>
          <w:bCs/>
          <w:kern w:val="2"/>
          <w:sz w:val="36"/>
          <w:szCs w:val="36"/>
          <w:lang w:val="en-US" w:eastAsia="zh-CN" w:bidi="ar-SA"/>
        </w:rPr>
        <w:t>通知</w:t>
      </w:r>
    </w:p>
    <w:p>
      <w:pPr>
        <w:spacing w:line="400" w:lineRule="exact"/>
        <w:rPr>
          <w:rFonts w:hint="eastAsia" w:ascii="仿宋_GB2312" w:hAnsi="宋体"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shd w:val="clear" w:color="auto" w:fill="FFFFFF"/>
        </w:rPr>
        <w:t>为加强行政规范性文件管理，</w:t>
      </w:r>
      <w:r>
        <w:rPr>
          <w:rFonts w:hint="eastAsia" w:ascii="仿宋" w:hAnsi="仿宋" w:eastAsia="仿宋" w:cs="仿宋"/>
          <w:kern w:val="2"/>
          <w:sz w:val="32"/>
          <w:szCs w:val="32"/>
          <w:lang w:val="en-US" w:eastAsia="zh-CN" w:bidi="ar-SA"/>
        </w:rPr>
        <w:t>我局对近年来制发的政策文件进行清理。根据《杭州市区生活垃圾处理运营体制改革指导意见》（杭城管委﹝2017﹞216号），到2020年我市已基本完成垃圾处理运营体制改革。经研究，拟废止该文件，现公开征求意见，</w:t>
      </w:r>
      <w:r>
        <w:rPr>
          <w:rFonts w:hint="default" w:ascii="仿宋" w:hAnsi="仿宋" w:eastAsia="仿宋" w:cs="仿宋"/>
          <w:kern w:val="2"/>
          <w:sz w:val="32"/>
          <w:szCs w:val="32"/>
          <w:lang w:val="en-US" w:eastAsia="zh-CN" w:bidi="ar-SA"/>
        </w:rPr>
        <w:t>征求意见期限为：202</w:t>
      </w: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年</w:t>
      </w:r>
      <w:r>
        <w:rPr>
          <w:rFonts w:hint="eastAsia" w:ascii="仿宋" w:hAnsi="仿宋" w:eastAsia="仿宋" w:cs="仿宋"/>
          <w:kern w:val="2"/>
          <w:sz w:val="32"/>
          <w:szCs w:val="32"/>
          <w:lang w:val="en-US" w:eastAsia="zh-CN" w:bidi="ar-SA"/>
        </w:rPr>
        <w:t>5</w:t>
      </w:r>
      <w:r>
        <w:rPr>
          <w:rFonts w:hint="default" w:ascii="仿宋" w:hAnsi="仿宋" w:eastAsia="仿宋" w:cs="仿宋"/>
          <w:kern w:val="2"/>
          <w:sz w:val="32"/>
          <w:szCs w:val="32"/>
          <w:lang w:val="en-US" w:eastAsia="zh-CN" w:bidi="ar-SA"/>
        </w:rPr>
        <w:t>月1</w:t>
      </w:r>
      <w:r>
        <w:rPr>
          <w:rFonts w:hint="eastAsia" w:ascii="仿宋" w:hAnsi="仿宋" w:eastAsia="仿宋" w:cs="仿宋"/>
          <w:kern w:val="2"/>
          <w:sz w:val="32"/>
          <w:szCs w:val="32"/>
          <w:lang w:val="en-US" w:eastAsia="zh-CN" w:bidi="ar-SA"/>
        </w:rPr>
        <w:t>9</w:t>
      </w:r>
      <w:r>
        <w:rPr>
          <w:rFonts w:hint="default" w:ascii="仿宋" w:hAnsi="仿宋" w:eastAsia="仿宋" w:cs="仿宋"/>
          <w:kern w:val="2"/>
          <w:sz w:val="32"/>
          <w:szCs w:val="32"/>
          <w:lang w:val="en-US" w:eastAsia="zh-CN" w:bidi="ar-SA"/>
        </w:rPr>
        <w:t>日至</w:t>
      </w:r>
      <w:r>
        <w:rPr>
          <w:rFonts w:hint="eastAsia" w:ascii="仿宋" w:hAnsi="仿宋" w:eastAsia="仿宋" w:cs="仿宋"/>
          <w:kern w:val="2"/>
          <w:sz w:val="32"/>
          <w:szCs w:val="32"/>
          <w:lang w:val="en-US" w:eastAsia="zh-CN" w:bidi="ar-SA"/>
        </w:rPr>
        <w:t>5</w:t>
      </w:r>
      <w:r>
        <w:rPr>
          <w:rFonts w:hint="default" w:ascii="仿宋" w:hAnsi="仿宋" w:eastAsia="仿宋" w:cs="仿宋"/>
          <w:kern w:val="2"/>
          <w:sz w:val="32"/>
          <w:szCs w:val="32"/>
          <w:lang w:val="en-US" w:eastAsia="zh-CN" w:bidi="ar-SA"/>
        </w:rPr>
        <w:t>月</w:t>
      </w:r>
      <w:r>
        <w:rPr>
          <w:rFonts w:hint="eastAsia" w:ascii="仿宋" w:hAnsi="仿宋" w:eastAsia="仿宋" w:cs="仿宋"/>
          <w:kern w:val="2"/>
          <w:sz w:val="32"/>
          <w:szCs w:val="32"/>
          <w:lang w:val="en-US" w:eastAsia="zh-CN" w:bidi="ar-SA"/>
        </w:rPr>
        <w:t>26</w:t>
      </w:r>
      <w:r>
        <w:rPr>
          <w:rFonts w:hint="default" w:ascii="仿宋" w:hAnsi="仿宋" w:eastAsia="仿宋" w:cs="仿宋"/>
          <w:kern w:val="2"/>
          <w:sz w:val="32"/>
          <w:szCs w:val="32"/>
          <w:lang w:val="en-US" w:eastAsia="zh-CN" w:bidi="ar-SA"/>
        </w:rPr>
        <w:t>日，如有意见或建议，请及时反馈。联系人：</w:t>
      </w:r>
      <w:r>
        <w:rPr>
          <w:rFonts w:hint="eastAsia" w:ascii="仿宋" w:hAnsi="仿宋" w:eastAsia="仿宋" w:cs="仿宋"/>
          <w:kern w:val="2"/>
          <w:sz w:val="32"/>
          <w:szCs w:val="32"/>
          <w:lang w:val="en-US" w:eastAsia="zh-CN" w:bidi="ar-SA"/>
        </w:rPr>
        <w:t>童星冰</w:t>
      </w:r>
      <w:r>
        <w:rPr>
          <w:rFonts w:hint="default" w:ascii="仿宋" w:hAnsi="仿宋" w:eastAsia="仿宋" w:cs="仿宋"/>
          <w:kern w:val="2"/>
          <w:sz w:val="32"/>
          <w:szCs w:val="32"/>
          <w:lang w:val="en-US" w:eastAsia="zh-CN" w:bidi="ar-SA"/>
        </w:rPr>
        <w:t>，电话：</w:t>
      </w:r>
      <w:r>
        <w:rPr>
          <w:rFonts w:hint="eastAsia" w:ascii="仿宋" w:hAnsi="仿宋" w:eastAsia="仿宋" w:cs="仿宋"/>
          <w:kern w:val="2"/>
          <w:sz w:val="32"/>
          <w:szCs w:val="32"/>
          <w:lang w:val="en-US" w:eastAsia="zh-CN" w:bidi="ar-SA"/>
        </w:rPr>
        <w:t>86417805，邮箱99018095@qq.com。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附件：《杭州市区生活垃圾处理运营体制改革指导意见》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杭州市城市管理局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2021年6月1日</w:t>
      </w:r>
    </w:p>
    <w:p>
      <w:pPr>
        <w:keepNext w:val="0"/>
        <w:keepLines w:val="0"/>
        <w:widowControl w:val="0"/>
        <w:suppressLineNumbers w:val="0"/>
        <w:adjustRightInd w:val="0"/>
        <w:snapToGrid w:val="0"/>
        <w:spacing w:before="0" w:beforeAutospacing="0" w:after="0" w:afterAutospacing="0" w:line="620" w:lineRule="exact"/>
        <w:ind w:left="0" w:right="0" w:firstLine="0" w:firstLineChars="0"/>
        <w:jc w:val="both"/>
        <w:rPr>
          <w:rFonts w:hint="eastAsia" w:ascii="黑体" w:hAnsi="宋体" w:eastAsia="黑体" w:cs="黑体"/>
          <w:szCs w:val="32"/>
          <w:lang w:val="en-US"/>
        </w:rPr>
      </w:pPr>
      <w:r>
        <w:rPr>
          <w:rFonts w:hint="eastAsia" w:ascii="仿宋" w:hAnsi="仿宋" w:eastAsia="仿宋" w:cs="仿宋"/>
          <w:kern w:val="2"/>
          <w:sz w:val="32"/>
          <w:szCs w:val="32"/>
          <w:lang w:val="en-US" w:eastAsia="zh-CN" w:bidi="ar-SA"/>
        </w:rPr>
        <w:br w:type="page"/>
      </w:r>
      <w:r>
        <w:rPr>
          <w:rFonts w:hint="eastAsia" w:ascii="黑体" w:hAnsi="宋体" w:eastAsia="黑体" w:cs="黑体"/>
          <w:snapToGrid/>
          <w:spacing w:val="-6"/>
          <w:kern w:val="2"/>
          <w:sz w:val="32"/>
          <w:szCs w:val="32"/>
          <w:lang w:val="en-US" w:eastAsia="zh-CN" w:bidi="ar"/>
        </w:rPr>
        <w:t>附件</w:t>
      </w:r>
    </w:p>
    <w:p>
      <w:pPr>
        <w:keepNext w:val="0"/>
        <w:keepLines w:val="0"/>
        <w:widowControl w:val="0"/>
        <w:suppressLineNumbers w:val="0"/>
        <w:adjustRightInd w:val="0"/>
        <w:snapToGrid w:val="0"/>
        <w:spacing w:before="0" w:beforeAutospacing="0" w:after="0" w:afterAutospacing="0" w:line="360" w:lineRule="auto"/>
        <w:ind w:left="0" w:right="0" w:firstLine="0" w:firstLineChars="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napToGrid/>
          <w:spacing w:val="-6"/>
          <w:kern w:val="2"/>
          <w:sz w:val="44"/>
          <w:szCs w:val="44"/>
          <w:lang w:val="en-US" w:eastAsia="zh-CN" w:bidi="ar"/>
        </w:rPr>
        <w:t>杭州市区生活垃圾处理运营</w:t>
      </w:r>
    </w:p>
    <w:p>
      <w:pPr>
        <w:keepNext w:val="0"/>
        <w:keepLines w:val="0"/>
        <w:widowControl w:val="0"/>
        <w:suppressLineNumbers w:val="0"/>
        <w:adjustRightInd w:val="0"/>
        <w:snapToGrid w:val="0"/>
        <w:spacing w:before="0" w:beforeAutospacing="0" w:after="0" w:afterAutospacing="0" w:line="360" w:lineRule="auto"/>
        <w:ind w:left="0" w:right="0" w:firstLine="0" w:firstLineChars="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napToGrid/>
          <w:spacing w:val="-6"/>
          <w:kern w:val="2"/>
          <w:sz w:val="44"/>
          <w:szCs w:val="44"/>
          <w:lang w:val="en-US" w:eastAsia="zh-CN" w:bidi="ar"/>
        </w:rPr>
        <w:t>体制改革指导意见</w:t>
      </w:r>
    </w:p>
    <w:p>
      <w:pPr>
        <w:keepNext w:val="0"/>
        <w:keepLines w:val="0"/>
        <w:widowControl w:val="0"/>
        <w:suppressLineNumbers w:val="0"/>
        <w:autoSpaceDE w:val="0"/>
        <w:autoSpaceDN w:val="0"/>
        <w:adjustRightInd w:val="0"/>
        <w:snapToGrid w:val="0"/>
        <w:spacing w:before="0" w:beforeAutospacing="0" w:after="0" w:afterAutospacing="0" w:line="520" w:lineRule="exact"/>
        <w:ind w:left="0" w:right="0" w:firstLine="420" w:firstLineChars="200"/>
        <w:jc w:val="left"/>
        <w:rPr>
          <w:rFonts w:hint="eastAsia" w:ascii="方正小标宋_GBK" w:hAnsi="仿宋" w:eastAsia="方正小标宋_GBK" w:cs="宋体"/>
          <w:kern w:val="0"/>
          <w:szCs w:val="32"/>
          <w:lang w:val="en-US"/>
        </w:rPr>
      </w:pP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6" w:firstLineChars="200"/>
        <w:jc w:val="left"/>
        <w:rPr>
          <w:rFonts w:hint="eastAsia" w:ascii="仿宋_GB2312" w:hAnsi="仿宋" w:eastAsia="仿宋_GB2312" w:cs="宋体"/>
          <w:kern w:val="0"/>
          <w:szCs w:val="32"/>
          <w:lang w:val="en-US"/>
        </w:rPr>
      </w:pPr>
      <w:r>
        <w:rPr>
          <w:rFonts w:hint="eastAsia" w:ascii="仿宋_GB2312" w:hAnsi="仿宋" w:eastAsia="仿宋_GB2312" w:cs="宋体"/>
          <w:snapToGrid/>
          <w:spacing w:val="-6"/>
          <w:kern w:val="0"/>
          <w:sz w:val="32"/>
          <w:szCs w:val="32"/>
          <w:lang w:val="en-US" w:eastAsia="zh-CN" w:bidi="ar"/>
        </w:rPr>
        <w:t>为进一步深化我市生活垃圾处理运营体制改革，鼓励和引导社会投资，推进生活固废循环经济产业园区建设，提升垃圾处置服务供给能力和运营效率，根据《杭州市市政公用事业特许经营条例》、</w:t>
      </w:r>
      <w:r>
        <w:rPr>
          <w:rFonts w:hint="eastAsia" w:ascii="仿宋_GB2312" w:hAnsi="仿宋" w:eastAsia="仿宋_GB2312" w:cs="仿宋_GB2312"/>
          <w:snapToGrid/>
          <w:spacing w:val="-6"/>
          <w:kern w:val="2"/>
          <w:sz w:val="32"/>
          <w:szCs w:val="32"/>
          <w:lang w:val="en-US" w:eastAsia="zh-CN" w:bidi="ar"/>
        </w:rPr>
        <w:t>《国务院办公厅关于推行环境污染第三方治理的意见》（国办发[2014]69号）</w:t>
      </w:r>
      <w:r>
        <w:rPr>
          <w:rFonts w:hint="eastAsia" w:ascii="仿宋_GB2312" w:hAnsi="仿宋" w:eastAsia="仿宋_GB2312" w:cs="宋体"/>
          <w:snapToGrid/>
          <w:spacing w:val="-6"/>
          <w:kern w:val="0"/>
          <w:sz w:val="32"/>
          <w:szCs w:val="32"/>
          <w:lang w:val="en-US" w:eastAsia="zh-CN" w:bidi="ar"/>
        </w:rPr>
        <w:t>和国家发展改革委、财政部等部门关于推广政府和社会资本合作（PPP）模式的要求，结合本市实际，现就杭州市区生活垃圾处理运营体制改革提出如下指导意见。</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03" w:firstLineChars="195"/>
        <w:jc w:val="left"/>
        <w:rPr>
          <w:rFonts w:hint="eastAsia" w:ascii="仿宋_GB2312" w:hAnsi="仿宋" w:eastAsia="仿宋_GB2312" w:cs="宋体"/>
          <w:b/>
          <w:bCs w:val="0"/>
          <w:kern w:val="0"/>
          <w:szCs w:val="32"/>
          <w:lang w:val="en-US"/>
        </w:rPr>
      </w:pPr>
      <w:r>
        <w:rPr>
          <w:rFonts w:hint="eastAsia" w:ascii="仿宋_GB2312" w:hAnsi="仿宋" w:eastAsia="仿宋_GB2312" w:cs="仿宋_GB2312"/>
          <w:b/>
          <w:bCs w:val="0"/>
          <w:snapToGrid/>
          <w:spacing w:val="-6"/>
          <w:kern w:val="2"/>
          <w:sz w:val="32"/>
          <w:szCs w:val="32"/>
          <w:lang w:val="en-US" w:eastAsia="zh-CN" w:bidi="ar"/>
        </w:rPr>
        <w:t>一、</w:t>
      </w:r>
      <w:r>
        <w:rPr>
          <w:rFonts w:hint="eastAsia" w:ascii="仿宋_GB2312" w:hAnsi="仿宋" w:eastAsia="仿宋_GB2312" w:cs="宋体"/>
          <w:b/>
          <w:bCs w:val="0"/>
          <w:snapToGrid/>
          <w:spacing w:val="-6"/>
          <w:kern w:val="0"/>
          <w:sz w:val="32"/>
          <w:szCs w:val="32"/>
          <w:lang w:val="en-US" w:eastAsia="zh-CN" w:bidi="ar"/>
        </w:rPr>
        <w:t>指导思想</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6" w:firstLineChars="200"/>
        <w:jc w:val="left"/>
        <w:rPr>
          <w:rFonts w:hint="eastAsia" w:ascii="仿宋_GB2312" w:hAnsi="仿宋" w:eastAsia="仿宋_GB2312" w:cs="宋体"/>
          <w:kern w:val="0"/>
          <w:szCs w:val="32"/>
          <w:lang w:val="en-US"/>
        </w:rPr>
      </w:pPr>
      <w:r>
        <w:rPr>
          <w:rFonts w:hint="eastAsia" w:ascii="仿宋_GB2312" w:hAnsi="仿宋" w:eastAsia="仿宋_GB2312" w:cs="宋体"/>
          <w:snapToGrid/>
          <w:spacing w:val="-6"/>
          <w:kern w:val="0"/>
          <w:sz w:val="32"/>
          <w:szCs w:val="32"/>
          <w:lang w:val="en-US" w:eastAsia="zh-CN" w:bidi="ar"/>
        </w:rPr>
        <w:t>深入贯彻十八届五中全会和习近平总书记等系列重要讲话精神，落实“创新、协调、绿色、开放、共享”发展理念，紧紧围绕“五废共治”的战略方针，突出以生活固废处置为重点的固废循环经济产业园区建设，以专业化、市场化和产业化为导向，突破体制障碍，营造适度竞争的市场环境，扩大社会资本参与，优化政府管理和服务，健全行业监管体系，提升我市生活垃圾治理水平。</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8" w:firstLineChars="200"/>
        <w:jc w:val="left"/>
        <w:rPr>
          <w:rFonts w:hint="eastAsia" w:ascii="仿宋_GB2312" w:hAnsi="仿宋" w:eastAsia="仿宋_GB2312" w:cs="宋体"/>
          <w:b/>
          <w:bCs w:val="0"/>
          <w:kern w:val="0"/>
          <w:szCs w:val="32"/>
          <w:lang w:val="en-US"/>
        </w:rPr>
      </w:pPr>
      <w:r>
        <w:rPr>
          <w:rFonts w:hint="eastAsia" w:ascii="仿宋_GB2312" w:hAnsi="仿宋" w:eastAsia="仿宋_GB2312" w:cs="宋体"/>
          <w:b/>
          <w:bCs w:val="0"/>
          <w:snapToGrid/>
          <w:spacing w:val="-6"/>
          <w:kern w:val="0"/>
          <w:sz w:val="32"/>
          <w:szCs w:val="32"/>
          <w:lang w:val="en-US" w:eastAsia="zh-CN" w:bidi="ar"/>
        </w:rPr>
        <w:t>二、基本原则</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8" w:firstLineChars="200"/>
        <w:jc w:val="left"/>
        <w:rPr>
          <w:rFonts w:hint="eastAsia" w:ascii="仿宋_GB2312" w:hAnsi="仿宋" w:eastAsia="仿宋_GB2312" w:cs="宋体"/>
          <w:kern w:val="0"/>
          <w:szCs w:val="32"/>
          <w:lang w:val="en-US"/>
        </w:rPr>
      </w:pPr>
      <w:r>
        <w:rPr>
          <w:rFonts w:hint="eastAsia" w:ascii="仿宋_GB2312" w:hAnsi="仿宋" w:eastAsia="仿宋_GB2312" w:cs="宋体"/>
          <w:b/>
          <w:bCs w:val="0"/>
          <w:snapToGrid/>
          <w:spacing w:val="-6"/>
          <w:kern w:val="0"/>
          <w:sz w:val="32"/>
          <w:szCs w:val="32"/>
          <w:lang w:val="en-US" w:eastAsia="zh-CN" w:bidi="ar"/>
        </w:rPr>
        <w:t>(一)坚持政府引导、市场运作。</w:t>
      </w:r>
      <w:r>
        <w:rPr>
          <w:rFonts w:hint="eastAsia" w:ascii="仿宋_GB2312" w:hAnsi="仿宋" w:eastAsia="仿宋_GB2312" w:cs="宋体"/>
          <w:snapToGrid/>
          <w:spacing w:val="-6"/>
          <w:kern w:val="0"/>
          <w:sz w:val="32"/>
          <w:szCs w:val="32"/>
          <w:lang w:val="en-US" w:eastAsia="zh-CN" w:bidi="ar"/>
        </w:rPr>
        <w:t>充分发挥政府投资引导作用和放大效应，鼓励社会资本以投资、参股等形式进入，坚持市场主体地位，建立合理分工、风险共担的合作模式。</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8" w:firstLineChars="200"/>
        <w:jc w:val="left"/>
        <w:rPr>
          <w:rFonts w:hint="eastAsia" w:ascii="仿宋_GB2312" w:hAnsi="仿宋" w:eastAsia="仿宋_GB2312" w:cs="宋体"/>
          <w:kern w:val="0"/>
          <w:szCs w:val="32"/>
          <w:lang w:val="en-US"/>
        </w:rPr>
      </w:pPr>
      <w:r>
        <w:rPr>
          <w:rFonts w:hint="eastAsia" w:ascii="仿宋_GB2312" w:hAnsi="仿宋" w:eastAsia="仿宋_GB2312" w:cs="宋体"/>
          <w:b/>
          <w:bCs w:val="0"/>
          <w:snapToGrid/>
          <w:spacing w:val="-6"/>
          <w:kern w:val="0"/>
          <w:sz w:val="32"/>
          <w:szCs w:val="32"/>
          <w:lang w:val="en-US" w:eastAsia="zh-CN" w:bidi="ar"/>
        </w:rPr>
        <w:t>（二）坚持分类管理，试点先行。</w:t>
      </w:r>
      <w:r>
        <w:rPr>
          <w:rFonts w:hint="eastAsia" w:ascii="仿宋_GB2312" w:hAnsi="仿宋" w:eastAsia="仿宋_GB2312" w:cs="宋体"/>
          <w:snapToGrid/>
          <w:spacing w:val="-6"/>
          <w:kern w:val="0"/>
          <w:sz w:val="32"/>
          <w:szCs w:val="32"/>
          <w:lang w:val="en-US" w:eastAsia="zh-CN" w:bidi="ar"/>
        </w:rPr>
        <w:t>分类推进垃圾处置项目投资、运营体制改革，选择适宜合作模式；试点先行、稳步推进，提高体制改革的针对性和有效性。</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8" w:firstLineChars="200"/>
        <w:jc w:val="left"/>
        <w:rPr>
          <w:rFonts w:hint="eastAsia" w:ascii="仿宋_GB2312" w:hAnsi="仿宋" w:eastAsia="仿宋_GB2312" w:cs="宋体"/>
          <w:kern w:val="0"/>
          <w:szCs w:val="32"/>
          <w:lang w:val="en-US"/>
        </w:rPr>
      </w:pPr>
      <w:r>
        <w:rPr>
          <w:rFonts w:hint="eastAsia" w:ascii="仿宋_GB2312" w:hAnsi="仿宋" w:eastAsia="仿宋_GB2312" w:cs="宋体"/>
          <w:b/>
          <w:bCs w:val="0"/>
          <w:snapToGrid/>
          <w:spacing w:val="-6"/>
          <w:kern w:val="0"/>
          <w:sz w:val="32"/>
          <w:szCs w:val="32"/>
          <w:lang w:val="en-US" w:eastAsia="zh-CN" w:bidi="ar"/>
        </w:rPr>
        <w:t>（三）坚持属地负责，市级统筹。</w:t>
      </w:r>
      <w:r>
        <w:rPr>
          <w:rFonts w:hint="eastAsia" w:ascii="仿宋_GB2312" w:hAnsi="仿宋" w:eastAsia="仿宋_GB2312" w:cs="宋体"/>
          <w:snapToGrid/>
          <w:spacing w:val="-6"/>
          <w:kern w:val="0"/>
          <w:sz w:val="32"/>
          <w:szCs w:val="32"/>
          <w:lang w:val="en-US" w:eastAsia="zh-CN" w:bidi="ar"/>
        </w:rPr>
        <w:t>建立市区统筹、上下联动、部门协同的工作机制。市级政府统筹园区规划和项目评估论证，各区政府落实属地责任，有序推进辖区项目建设和维稳工作。</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8" w:firstLineChars="200"/>
        <w:jc w:val="left"/>
        <w:rPr>
          <w:rFonts w:hint="eastAsia" w:ascii="仿宋_GB2312" w:hAnsi="仿宋" w:eastAsia="仿宋_GB2312" w:cs="宋体"/>
          <w:kern w:val="0"/>
          <w:szCs w:val="32"/>
          <w:lang w:val="en-US"/>
        </w:rPr>
      </w:pPr>
      <w:r>
        <w:rPr>
          <w:rFonts w:hint="eastAsia" w:ascii="仿宋_GB2312" w:hAnsi="仿宋" w:eastAsia="仿宋_GB2312" w:cs="宋体"/>
          <w:b/>
          <w:bCs w:val="0"/>
          <w:snapToGrid/>
          <w:spacing w:val="-6"/>
          <w:kern w:val="0"/>
          <w:sz w:val="32"/>
          <w:szCs w:val="32"/>
          <w:lang w:val="en-US" w:eastAsia="zh-CN" w:bidi="ar"/>
        </w:rPr>
        <w:t>（四）坚持强化监管，按质付费。</w:t>
      </w:r>
      <w:r>
        <w:rPr>
          <w:rFonts w:hint="eastAsia" w:ascii="仿宋_GB2312" w:hAnsi="仿宋" w:eastAsia="仿宋_GB2312" w:cs="宋体"/>
          <w:snapToGrid/>
          <w:spacing w:val="-6"/>
          <w:kern w:val="0"/>
          <w:sz w:val="32"/>
          <w:szCs w:val="32"/>
          <w:lang w:val="en-US" w:eastAsia="zh-CN" w:bidi="ar"/>
        </w:rPr>
        <w:t>建立完善市、区两级协同监管体系和监管机制，提升专业监管能力。加强合同监管，建立垃圾处置服务绩效评估机制，落实按质付费，提高企业活力和服务保障水平。</w:t>
      </w:r>
    </w:p>
    <w:p>
      <w:pPr>
        <w:keepNext w:val="0"/>
        <w:keepLines w:val="0"/>
        <w:widowControl w:val="0"/>
        <w:suppressLineNumbers w:val="0"/>
        <w:adjustRightInd w:val="0"/>
        <w:snapToGrid w:val="0"/>
        <w:spacing w:before="0" w:beforeAutospacing="0" w:after="0" w:afterAutospacing="0" w:line="620" w:lineRule="exact"/>
        <w:ind w:left="0" w:right="0" w:firstLine="603" w:firstLineChars="195"/>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三、主要目标</w:t>
      </w:r>
    </w:p>
    <w:p>
      <w:pPr>
        <w:keepNext w:val="0"/>
        <w:keepLines w:val="0"/>
        <w:widowControl w:val="0"/>
        <w:suppressLineNumbers w:val="0"/>
        <w:adjustRightInd w:val="0"/>
        <w:snapToGrid w:val="0"/>
        <w:spacing w:before="0" w:beforeAutospacing="0" w:after="0" w:afterAutospacing="0" w:line="620" w:lineRule="exact"/>
        <w:ind w:left="0" w:right="0" w:firstLine="600" w:firstLineChars="195"/>
        <w:jc w:val="both"/>
        <w:rPr>
          <w:rFonts w:hint="eastAsia" w:ascii="仿宋_GB2312" w:hAnsi="仿宋" w:eastAsia="仿宋_GB2312" w:cs="宋体"/>
          <w:kern w:val="0"/>
          <w:szCs w:val="32"/>
          <w:lang w:val="en-US"/>
        </w:rPr>
      </w:pPr>
      <w:r>
        <w:rPr>
          <w:rFonts w:hint="eastAsia" w:ascii="仿宋_GB2312" w:hAnsi="仿宋" w:eastAsia="仿宋_GB2312" w:cs="宋体"/>
          <w:snapToGrid/>
          <w:spacing w:val="-6"/>
          <w:kern w:val="0"/>
          <w:sz w:val="32"/>
          <w:szCs w:val="32"/>
          <w:lang w:val="en-US" w:eastAsia="zh-CN" w:bidi="ar"/>
        </w:rPr>
        <w:t>到2020年，垃圾处理运营体制改革基本完成，积极推进社会资本参与垃圾处置设施建设和运营，市场化、产业化的垃圾处理供给体系基本形成。</w:t>
      </w:r>
    </w:p>
    <w:p>
      <w:pPr>
        <w:keepNext w:val="0"/>
        <w:keepLines w:val="0"/>
        <w:widowControl w:val="0"/>
        <w:suppressLineNumbers w:val="0"/>
        <w:adjustRightInd w:val="0"/>
        <w:snapToGrid w:val="0"/>
        <w:spacing w:before="0" w:beforeAutospacing="0" w:after="0" w:afterAutospacing="0" w:line="620" w:lineRule="exact"/>
        <w:ind w:left="0" w:right="0" w:firstLine="600" w:firstLineChars="195"/>
        <w:jc w:val="both"/>
        <w:rPr>
          <w:rFonts w:hint="eastAsia" w:ascii="仿宋_GB2312" w:hAnsi="仿宋" w:eastAsia="仿宋_GB2312" w:cs="宋体"/>
          <w:kern w:val="0"/>
          <w:szCs w:val="32"/>
          <w:lang w:val="en-US"/>
        </w:rPr>
      </w:pPr>
      <w:r>
        <w:rPr>
          <w:rFonts w:hint="eastAsia" w:ascii="仿宋_GB2312" w:hAnsi="仿宋" w:eastAsia="仿宋_GB2312" w:cs="宋体"/>
          <w:snapToGrid/>
          <w:spacing w:val="-6"/>
          <w:kern w:val="0"/>
          <w:sz w:val="32"/>
          <w:szCs w:val="32"/>
          <w:lang w:val="en-US" w:eastAsia="zh-CN" w:bidi="ar"/>
        </w:rPr>
        <w:t>高标准建成规划园区和项目，实现以焚烧为主的垃圾焚烧处置目标，焚烧能力满足处置服务需求；处置设施由专业化运营管理团队负责实施，保障服务质量和运营效率。</w:t>
      </w:r>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00" w:firstLineChars="195"/>
        <w:jc w:val="left"/>
        <w:rPr>
          <w:rFonts w:hint="eastAsia" w:ascii="仿宋_GB2312" w:hAnsi="仿宋" w:eastAsia="仿宋_GB2312" w:cs="宋体"/>
          <w:kern w:val="0"/>
          <w:szCs w:val="32"/>
          <w:lang w:val="en-US"/>
        </w:rPr>
      </w:pPr>
      <w:r>
        <w:rPr>
          <w:rFonts w:hint="eastAsia" w:ascii="仿宋_GB2312" w:hAnsi="仿宋" w:eastAsia="仿宋_GB2312" w:cs="宋体"/>
          <w:snapToGrid/>
          <w:spacing w:val="-6"/>
          <w:kern w:val="0"/>
          <w:sz w:val="32"/>
          <w:szCs w:val="32"/>
          <w:lang w:val="en-US" w:eastAsia="zh-CN" w:bidi="ar"/>
        </w:rPr>
        <w:t>监管机制更加完善，建成覆盖全市域监管体系，实现信息化监管全覆盖。行业监管能力和监管绩效明显提升，促进企业规范运行和创新驱动，推动行业健康持续发展。</w:t>
      </w:r>
      <w:bookmarkStart w:id="0" w:name="_GoBack"/>
      <w:bookmarkEnd w:id="0"/>
    </w:p>
    <w:p>
      <w:pPr>
        <w:keepNext w:val="0"/>
        <w:keepLines w:val="0"/>
        <w:widowControl w:val="0"/>
        <w:suppressLineNumbers w:val="0"/>
        <w:autoSpaceDE w:val="0"/>
        <w:autoSpaceDN w:val="0"/>
        <w:adjustRightInd w:val="0"/>
        <w:snapToGrid w:val="0"/>
        <w:spacing w:before="0" w:beforeAutospacing="0" w:after="0" w:afterAutospacing="0" w:line="620" w:lineRule="exact"/>
        <w:ind w:left="0" w:right="0" w:firstLine="618" w:firstLineChars="200"/>
        <w:jc w:val="left"/>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四、主要内容</w:t>
      </w:r>
    </w:p>
    <w:p>
      <w:pPr>
        <w:keepNext w:val="0"/>
        <w:keepLines w:val="0"/>
        <w:widowControl w:val="0"/>
        <w:suppressLineNumbers w:val="0"/>
        <w:adjustRightInd w:val="0"/>
        <w:snapToGrid w:val="0"/>
        <w:spacing w:before="0" w:beforeAutospacing="0" w:after="0" w:afterAutospacing="0" w:line="620" w:lineRule="exact"/>
        <w:ind w:left="0" w:right="0" w:firstLine="451" w:firstLineChars="146"/>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（一）推进生活垃圾处置市场全面开放</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1.统筹项目储备与评估。</w:t>
      </w:r>
      <w:r>
        <w:rPr>
          <w:rFonts w:hint="eastAsia" w:ascii="仿宋_GB2312" w:hAnsi="仿宋" w:eastAsia="仿宋_GB2312" w:cs="仿宋_GB2312"/>
          <w:snapToGrid/>
          <w:spacing w:val="-6"/>
          <w:kern w:val="2"/>
          <w:sz w:val="32"/>
          <w:szCs w:val="32"/>
          <w:lang w:val="en-US" w:eastAsia="zh-CN" w:bidi="ar"/>
        </w:rPr>
        <w:t>行业主管部门或政府授权部门根据全市垃圾处理设施规划布局，做好项目储备，适时将适宜项目纳入政府PPP项目库。负责做好特许经营项目实施方案，可委托第三方机构开展项目可行性、财政负担能力、公众接受程度等方面的科学评估和论证，及时完善项目实施方案并报市政府。</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2.优选项目市场运营模式。</w:t>
      </w:r>
      <w:r>
        <w:rPr>
          <w:rFonts w:hint="eastAsia" w:ascii="仿宋_GB2312" w:hAnsi="仿宋" w:eastAsia="仿宋_GB2312" w:cs="仿宋_GB2312"/>
          <w:snapToGrid/>
          <w:spacing w:val="-6"/>
          <w:kern w:val="2"/>
          <w:sz w:val="32"/>
          <w:szCs w:val="32"/>
          <w:lang w:val="en-US" w:eastAsia="zh-CN" w:bidi="ar"/>
        </w:rPr>
        <w:t>新建生活垃圾处理项目应鼓励采用PPP模式，结合项目经营盈利性特点分类选择市场运营模式。适时推进垃圾处置存量项目社会资本参与，盘活存量资产。</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3.规范市场准入机制。</w:t>
      </w:r>
      <w:r>
        <w:rPr>
          <w:rFonts w:hint="eastAsia" w:ascii="仿宋_GB2312" w:hAnsi="仿宋" w:eastAsia="仿宋_GB2312" w:cs="仿宋_GB2312"/>
          <w:snapToGrid/>
          <w:spacing w:val="-6"/>
          <w:kern w:val="2"/>
          <w:sz w:val="32"/>
          <w:szCs w:val="32"/>
          <w:lang w:val="en-US" w:eastAsia="zh-CN" w:bidi="ar"/>
        </w:rPr>
        <w:t>新建项目采用公开招投标或其他依法公开竞争方式确定特许经营者，由市政府或市政府授权的部门与依法取得特许经营权的经营者签订特许经营协议。</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4.强化项目信息公开。</w:t>
      </w:r>
      <w:r>
        <w:rPr>
          <w:rFonts w:hint="eastAsia" w:ascii="仿宋_GB2312" w:hAnsi="仿宋" w:eastAsia="仿宋_GB2312" w:cs="仿宋_GB2312"/>
          <w:snapToGrid/>
          <w:spacing w:val="-6"/>
          <w:kern w:val="2"/>
          <w:sz w:val="32"/>
          <w:szCs w:val="32"/>
          <w:lang w:val="en-US" w:eastAsia="zh-CN" w:bidi="ar"/>
        </w:rPr>
        <w:t>建立项目信息发布机制，新建项目应向社会公开发布项目名称、内容、经营期限、设计规模、服务质量和标准、投资回报方式、价格调整机制等事项，为社会投资公平参与提供必要的信息，并提供咨询服务。</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5.完善项目招投标制度。</w:t>
      </w:r>
      <w:r>
        <w:rPr>
          <w:rFonts w:hint="eastAsia" w:ascii="仿宋_GB2312" w:hAnsi="仿宋" w:eastAsia="仿宋_GB2312" w:cs="仿宋_GB2312"/>
          <w:snapToGrid/>
          <w:spacing w:val="-6"/>
          <w:kern w:val="2"/>
          <w:sz w:val="32"/>
          <w:szCs w:val="32"/>
          <w:lang w:val="en-US" w:eastAsia="zh-CN" w:bidi="ar"/>
        </w:rPr>
        <w:t>实施项目公开招投标制度，保持适度竞争和遵循效率原则。实施综合评标制度，综合考虑投标方资本实力、专业能力、信用状况等因素，严格限制明显低于成本价格或行业平均水平的恶意低价中标行为，避免“低价低质”风险。</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（二）规范市场运营秩序</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1.严格特许经营管理。</w:t>
      </w:r>
      <w:r>
        <w:rPr>
          <w:rFonts w:hint="eastAsia" w:ascii="仿宋_GB2312" w:hAnsi="仿宋" w:eastAsia="仿宋_GB2312" w:cs="仿宋_GB2312"/>
          <w:snapToGrid/>
          <w:spacing w:val="-6"/>
          <w:kern w:val="2"/>
          <w:sz w:val="32"/>
          <w:szCs w:val="32"/>
          <w:lang w:val="en-US" w:eastAsia="zh-CN" w:bidi="ar"/>
        </w:rPr>
        <w:t>特许经营服务协议应明确服务内容、服务质量、服务价格、责任界限、风险处理、临时接管等相关内容。特许经营期根据项目经营规模、经营方式、投资回报期等因素确定，最长不超过30年。</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宋体"/>
          <w:color w:val="000000"/>
          <w:spacing w:val="8"/>
          <w:kern w:val="0"/>
          <w:szCs w:val="32"/>
          <w:lang w:val="en-US"/>
        </w:rPr>
      </w:pPr>
      <w:r>
        <w:rPr>
          <w:rFonts w:hint="eastAsia" w:ascii="仿宋_GB2312" w:hAnsi="仿宋" w:eastAsia="仿宋_GB2312" w:cs="仿宋_GB2312"/>
          <w:b/>
          <w:bCs w:val="0"/>
          <w:snapToGrid/>
          <w:spacing w:val="-6"/>
          <w:kern w:val="2"/>
          <w:sz w:val="32"/>
          <w:szCs w:val="32"/>
          <w:lang w:val="en-US" w:eastAsia="zh-CN" w:bidi="ar"/>
        </w:rPr>
        <w:t>2.注重项目绩效考评。</w:t>
      </w:r>
      <w:r>
        <w:rPr>
          <w:rFonts w:hint="eastAsia" w:ascii="仿宋_GB2312" w:hAnsi="仿宋" w:eastAsia="仿宋_GB2312" w:cs="仿宋_GB2312"/>
          <w:snapToGrid/>
          <w:spacing w:val="-6"/>
          <w:kern w:val="2"/>
          <w:sz w:val="32"/>
          <w:szCs w:val="32"/>
          <w:lang w:val="en-US" w:eastAsia="zh-CN" w:bidi="ar"/>
        </w:rPr>
        <w:t>完善项目建设和运营绩效评价机制，实施定期评估制度，行业主管部门每年组织对项目运营服务质量、环境质量、安全生产等运行情况进行评价，并出具监管评价报告。每3-5年委托专业咨询服务机构对建设投资和运营服务质量、设施设备改造养护、安全生产管理等履约情况进行中期评估。</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b/>
          <w:bCs w:val="0"/>
          <w:color w:val="FF0000"/>
          <w:szCs w:val="32"/>
          <w:lang w:val="en-US"/>
        </w:rPr>
      </w:pPr>
      <w:r>
        <w:rPr>
          <w:rFonts w:hint="eastAsia" w:ascii="仿宋_GB2312" w:hAnsi="仿宋" w:eastAsia="仿宋_GB2312" w:cs="仿宋_GB2312"/>
          <w:b/>
          <w:bCs w:val="0"/>
          <w:snapToGrid/>
          <w:spacing w:val="-6"/>
          <w:kern w:val="2"/>
          <w:sz w:val="32"/>
          <w:szCs w:val="32"/>
          <w:lang w:val="en-US" w:eastAsia="zh-CN" w:bidi="ar"/>
        </w:rPr>
        <w:t>3.健全市场退出机制。</w:t>
      </w:r>
      <w:r>
        <w:rPr>
          <w:rFonts w:hint="eastAsia" w:ascii="仿宋_GB2312" w:hAnsi="仿宋" w:eastAsia="仿宋_GB2312" w:cs="仿宋_GB2312"/>
          <w:snapToGrid/>
          <w:spacing w:val="-6"/>
          <w:kern w:val="2"/>
          <w:sz w:val="32"/>
          <w:szCs w:val="32"/>
          <w:lang w:val="en-US" w:eastAsia="zh-CN" w:bidi="ar"/>
        </w:rPr>
        <w:t>特许经营者违反《杭州市市政公用事业特许经营条例》规定和特许经营协议约定的，由行业主管部门责令改正，拒不改正的，经市政府决定，可以收回特许经营权，终止特许经营协议，并实施临时接管。</w:t>
      </w:r>
    </w:p>
    <w:p>
      <w:pPr>
        <w:keepNext w:val="0"/>
        <w:keepLines w:val="0"/>
        <w:widowControl w:val="0"/>
        <w:suppressLineNumbers w:val="0"/>
        <w:adjustRightInd w:val="0"/>
        <w:snapToGrid w:val="0"/>
        <w:spacing w:before="0" w:beforeAutospacing="0" w:after="0" w:afterAutospacing="0" w:line="620" w:lineRule="exact"/>
        <w:ind w:left="0" w:right="0" w:firstLine="451" w:firstLineChars="146"/>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（三）培育和规范市场主体</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1.加快环境污染第三方治理试点。</w:t>
      </w:r>
      <w:r>
        <w:rPr>
          <w:rFonts w:hint="eastAsia" w:ascii="仿宋_GB2312" w:hAnsi="仿宋" w:eastAsia="仿宋_GB2312" w:cs="仿宋_GB2312"/>
          <w:snapToGrid/>
          <w:spacing w:val="-6"/>
          <w:kern w:val="2"/>
          <w:sz w:val="32"/>
          <w:szCs w:val="32"/>
          <w:lang w:val="en-US" w:eastAsia="zh-CN" w:bidi="ar"/>
        </w:rPr>
        <w:t>加快推进试点项目，改革政府对国有企业垃圾处理设施建设运营的投融资方式，由政府直接投资转变为企业融资，政府购买服务，引入具有先进管理和技术经验的优秀团队参与垃圾处理设施的建设运营。积累试点经验，适时推广应用其它垃圾处置或大型垃圾转运站设施投资建设领域。</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2.推进园区建设和产业协同</w:t>
      </w:r>
      <w:r>
        <w:rPr>
          <w:rFonts w:hint="eastAsia" w:ascii="仿宋_GB2312" w:hAnsi="仿宋" w:eastAsia="仿宋_GB2312" w:cs="仿宋_GB2312"/>
          <w:snapToGrid/>
          <w:spacing w:val="-6"/>
          <w:kern w:val="2"/>
          <w:sz w:val="32"/>
          <w:szCs w:val="32"/>
          <w:lang w:val="en-US" w:eastAsia="zh-CN" w:bidi="ar"/>
        </w:rPr>
        <w:t>。市、区两级政府要加强对生活垃圾循环产业园区建设的组织领导，统筹循环园区规划和发展定位，落实相关责任单位牵头制定园区发展的政策和法规，并实施园区公共服务及配套基础设施建设。培育和扶持园区企业发展，支持龙头骨干企业发展，鼓励开发垃圾处置新技术、新装备，充分发挥龙头骨干企业的技术、品牌和管理溢出效应，促进垃圾处置产业集群式发展。</w:t>
      </w:r>
    </w:p>
    <w:p>
      <w:pPr>
        <w:keepNext w:val="0"/>
        <w:keepLines w:val="0"/>
        <w:widowControl w:val="0"/>
        <w:suppressLineNumbers w:val="0"/>
        <w:adjustRightInd w:val="0"/>
        <w:snapToGrid w:val="0"/>
        <w:spacing w:before="0" w:beforeAutospacing="0" w:after="0" w:afterAutospacing="0" w:line="620" w:lineRule="exact"/>
        <w:ind w:left="0" w:right="0" w:firstLine="603" w:firstLineChars="195"/>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3.加强行业自律。</w:t>
      </w:r>
      <w:r>
        <w:rPr>
          <w:rFonts w:hint="eastAsia" w:ascii="仿宋_GB2312" w:hAnsi="仿宋" w:eastAsia="仿宋_GB2312" w:cs="仿宋_GB2312"/>
          <w:snapToGrid/>
          <w:spacing w:val="-6"/>
          <w:kern w:val="2"/>
          <w:sz w:val="32"/>
          <w:szCs w:val="32"/>
          <w:lang w:val="en-US" w:eastAsia="zh-CN" w:bidi="ar"/>
        </w:rPr>
        <w:t>完善信用机制，行业协会建立守信激励、失信惩戒制度和行业红黑名单制度，鼓励行业内依法相互监督，对严重违法失信的企业和行为依法予以曝光，促进市场主体依法诚信经营。项目经营者及时向社会公开主要环境数据，自觉接受社会监督，定期发布年度社会责任报告、研发创新新技术和新装备。</w:t>
      </w:r>
    </w:p>
    <w:p>
      <w:pPr>
        <w:keepNext w:val="0"/>
        <w:keepLines w:val="0"/>
        <w:widowControl w:val="0"/>
        <w:suppressLineNumbers w:val="0"/>
        <w:adjustRightInd w:val="0"/>
        <w:snapToGrid w:val="0"/>
        <w:spacing w:before="0" w:beforeAutospacing="0" w:after="0" w:afterAutospacing="0" w:line="620" w:lineRule="exact"/>
        <w:ind w:left="0" w:right="0" w:firstLine="451" w:firstLineChars="146"/>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（四）加强行业监管</w:t>
      </w:r>
    </w:p>
    <w:p>
      <w:pPr>
        <w:keepNext w:val="0"/>
        <w:keepLines w:val="0"/>
        <w:widowControl/>
        <w:suppressLineNumbers w:val="0"/>
        <w:shd w:val="clear" w:color="auto" w:fill="FFFFFF"/>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shd w:val="clear" w:color="auto" w:fill="FFFFFF"/>
          <w:lang w:val="en-US"/>
        </w:rPr>
      </w:pPr>
      <w:r>
        <w:rPr>
          <w:rFonts w:hint="eastAsia" w:ascii="仿宋_GB2312" w:hAnsi="仿宋" w:eastAsia="仿宋_GB2312" w:cs="仿宋_GB2312"/>
          <w:b/>
          <w:bCs w:val="0"/>
          <w:snapToGrid/>
          <w:spacing w:val="-6"/>
          <w:kern w:val="2"/>
          <w:sz w:val="32"/>
          <w:szCs w:val="32"/>
          <w:shd w:val="clear" w:color="auto" w:fill="FFFFFF"/>
          <w:lang w:val="en-US" w:eastAsia="zh-CN" w:bidi="ar"/>
        </w:rPr>
        <w:t>1.加强项目监督。</w:t>
      </w:r>
      <w:r>
        <w:rPr>
          <w:rFonts w:hint="eastAsia" w:ascii="仿宋_GB2312" w:hAnsi="仿宋" w:eastAsia="仿宋_GB2312" w:cs="仿宋_GB2312"/>
          <w:snapToGrid/>
          <w:spacing w:val="-6"/>
          <w:kern w:val="2"/>
          <w:sz w:val="32"/>
          <w:szCs w:val="32"/>
          <w:shd w:val="clear" w:color="auto" w:fill="FFFFFF"/>
          <w:lang w:val="en-US" w:eastAsia="zh-CN" w:bidi="ar"/>
        </w:rPr>
        <w:t>实施项目方案设计、建设和运营全过程监管，督促项目经营者严格按照合同约定组织工程建设和运营，确保工程质量。行业主管部门、规划、国土、建设、环保、国资、财政、物价、审计等各相关部门在各自职责范围内依法实施监督管理工作。</w:t>
      </w:r>
    </w:p>
    <w:p>
      <w:pPr>
        <w:keepNext w:val="0"/>
        <w:keepLines w:val="0"/>
        <w:widowControl/>
        <w:suppressLineNumbers w:val="0"/>
        <w:shd w:val="clear" w:color="auto" w:fill="FFFFFF"/>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shd w:val="clear" w:color="auto" w:fill="FFFFFF"/>
          <w:lang w:val="en-US"/>
        </w:rPr>
      </w:pPr>
      <w:r>
        <w:rPr>
          <w:rFonts w:hint="eastAsia" w:ascii="仿宋_GB2312" w:hAnsi="仿宋" w:eastAsia="仿宋_GB2312" w:cs="仿宋_GB2312"/>
          <w:b/>
          <w:bCs w:val="0"/>
          <w:snapToGrid/>
          <w:spacing w:val="-6"/>
          <w:kern w:val="2"/>
          <w:sz w:val="32"/>
          <w:szCs w:val="32"/>
          <w:shd w:val="clear" w:color="auto" w:fill="FFFFFF"/>
          <w:lang w:val="en-US" w:eastAsia="zh-CN" w:bidi="ar"/>
        </w:rPr>
        <w:t>2.强调依法监管。</w:t>
      </w:r>
      <w:r>
        <w:rPr>
          <w:rFonts w:hint="eastAsia" w:ascii="仿宋_GB2312" w:hAnsi="仿宋" w:eastAsia="仿宋_GB2312" w:cs="仿宋_GB2312"/>
          <w:snapToGrid/>
          <w:spacing w:val="-6"/>
          <w:kern w:val="2"/>
          <w:sz w:val="32"/>
          <w:szCs w:val="32"/>
          <w:shd w:val="clear" w:color="auto" w:fill="FFFFFF"/>
          <w:lang w:val="en-US" w:eastAsia="zh-CN" w:bidi="ar"/>
        </w:rPr>
        <w:t>市、区两级政府要依法履行义务，及时支付垃圾转运、处置服务费用，维护企业合法权益，不得因行政区划调整、政府换届、部门调整及负责人变更等情况影响履行。监管机构实施依法监管，强化合同管理，按照相关法规、标准和规范，督促企业规范运营，避免行政干扰。</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3.提升监管能力。</w:t>
      </w:r>
      <w:r>
        <w:rPr>
          <w:rFonts w:hint="eastAsia" w:ascii="仿宋_GB2312" w:hAnsi="仿宋" w:eastAsia="仿宋_GB2312" w:cs="仿宋_GB2312"/>
          <w:snapToGrid/>
          <w:spacing w:val="-6"/>
          <w:kern w:val="2"/>
          <w:sz w:val="32"/>
          <w:szCs w:val="32"/>
          <w:lang w:val="en-US" w:eastAsia="zh-CN" w:bidi="ar"/>
        </w:rPr>
        <w:t>构建政府主导、社会监督为补充的多元监管体系。整合监管资源，统一监管标准，构建覆盖全市域分级监管网络，提升专业监管能力。探索建立社会化监管服务机制，宜将环境监测等专业性较强的监管业务，委托社会专业机构执行，同时，完善公众参与机制，发挥社会公众参与监管的积极作用。</w:t>
      </w:r>
    </w:p>
    <w:p>
      <w:pPr>
        <w:keepNext w:val="0"/>
        <w:keepLines w:val="0"/>
        <w:widowControl w:val="0"/>
        <w:suppressLineNumbers w:val="0"/>
        <w:adjustRightInd w:val="0"/>
        <w:snapToGrid w:val="0"/>
        <w:spacing w:before="0" w:beforeAutospacing="0" w:after="0" w:afterAutospacing="0" w:line="620" w:lineRule="exact"/>
        <w:ind w:left="0" w:right="0" w:firstLine="603" w:firstLineChars="195"/>
        <w:jc w:val="both"/>
        <w:rPr>
          <w:rFonts w:hint="eastAsia" w:ascii="仿宋_GB2312" w:hAnsi="仿宋" w:eastAsia="仿宋_GB2312" w:cs="仿宋_GB2312"/>
          <w:b/>
          <w:bCs w:val="0"/>
          <w:szCs w:val="32"/>
          <w:lang w:val="en-US"/>
        </w:rPr>
      </w:pPr>
      <w:r>
        <w:rPr>
          <w:rFonts w:hint="eastAsia" w:ascii="仿宋_GB2312" w:hAnsi="仿宋" w:eastAsia="仿宋_GB2312" w:cs="仿宋_GB2312"/>
          <w:b/>
          <w:bCs w:val="0"/>
          <w:snapToGrid/>
          <w:spacing w:val="-6"/>
          <w:kern w:val="2"/>
          <w:sz w:val="32"/>
          <w:szCs w:val="32"/>
          <w:lang w:val="en-US" w:eastAsia="zh-CN" w:bidi="ar"/>
        </w:rPr>
        <w:t>五、工作要求</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仿宋_GB2312"/>
          <w:szCs w:val="32"/>
          <w:lang w:val="en-US"/>
        </w:rPr>
      </w:pPr>
      <w:r>
        <w:rPr>
          <w:rFonts w:hint="eastAsia" w:ascii="仿宋_GB2312" w:hAnsi="仿宋" w:eastAsia="仿宋_GB2312" w:cs="仿宋_GB2312"/>
          <w:b/>
          <w:bCs w:val="0"/>
          <w:snapToGrid/>
          <w:spacing w:val="-6"/>
          <w:kern w:val="2"/>
          <w:sz w:val="32"/>
          <w:szCs w:val="32"/>
          <w:lang w:val="en-US" w:eastAsia="zh-CN" w:bidi="ar"/>
        </w:rPr>
        <w:t>（一）加强组织协调。</w:t>
      </w:r>
      <w:r>
        <w:rPr>
          <w:rFonts w:hint="eastAsia" w:ascii="仿宋_GB2312" w:hAnsi="仿宋" w:eastAsia="仿宋_GB2312" w:cs="宋体"/>
          <w:snapToGrid/>
          <w:spacing w:val="-6"/>
          <w:kern w:val="0"/>
          <w:sz w:val="32"/>
          <w:szCs w:val="32"/>
          <w:lang w:val="en-US" w:eastAsia="zh-CN" w:bidi="ar"/>
        </w:rPr>
        <w:t>各级政府和市相关职能部门，要加强统筹协调，协同推进垃圾处理运营体制改革。发改、财政部门要完善PPP相关政策，组织开展PPP项目业务培训和指导，行业主管部门相关人员，要熟悉项目运作模式、操作流程、风险防控等管理全流程要点。引入第三方专业咨询服务机构，促进项目规范化实施。</w:t>
      </w:r>
    </w:p>
    <w:p>
      <w:pPr>
        <w:keepNext w:val="0"/>
        <w:keepLines w:val="0"/>
        <w:widowControl w:val="0"/>
        <w:suppressLineNumbers w:val="0"/>
        <w:adjustRightInd w:val="0"/>
        <w:snapToGrid w:val="0"/>
        <w:spacing w:before="0" w:beforeAutospacing="0" w:after="0" w:afterAutospacing="0" w:line="620" w:lineRule="exact"/>
        <w:ind w:left="0" w:right="0" w:firstLine="618" w:firstLineChars="200"/>
        <w:jc w:val="both"/>
        <w:rPr>
          <w:rFonts w:hint="eastAsia" w:ascii="仿宋_GB2312" w:hAnsi="仿宋" w:eastAsia="仿宋_GB2312" w:cs="宋体"/>
          <w:kern w:val="0"/>
          <w:szCs w:val="32"/>
          <w:lang w:val="en-US"/>
        </w:rPr>
      </w:pPr>
      <w:r>
        <w:rPr>
          <w:rFonts w:hint="eastAsia" w:ascii="仿宋_GB2312" w:hAnsi="仿宋" w:eastAsia="仿宋_GB2312" w:cs="仿宋_GB2312"/>
          <w:b/>
          <w:bCs w:val="0"/>
          <w:snapToGrid/>
          <w:spacing w:val="-6"/>
          <w:kern w:val="2"/>
          <w:sz w:val="32"/>
          <w:szCs w:val="32"/>
          <w:lang w:val="en-US" w:eastAsia="zh-CN" w:bidi="ar"/>
        </w:rPr>
        <w:t>（二）加大保障力度。</w:t>
      </w:r>
      <w:r>
        <w:rPr>
          <w:rFonts w:hint="eastAsia" w:ascii="仿宋_GB2312" w:hAnsi="仿宋" w:eastAsia="仿宋_GB2312" w:cs="仿宋_GB2312"/>
          <w:snapToGrid/>
          <w:spacing w:val="-6"/>
          <w:kern w:val="2"/>
          <w:sz w:val="32"/>
          <w:szCs w:val="32"/>
          <w:lang w:val="en-US" w:eastAsia="zh-CN" w:bidi="ar"/>
        </w:rPr>
        <w:t>落实人、财、物保障，引入专业技术人员和先进技术设备，强化监管机构的监管力量，提高科技监管能力和水平。</w:t>
      </w:r>
      <w:r>
        <w:rPr>
          <w:rFonts w:hint="eastAsia" w:ascii="仿宋_GB2312" w:hAnsi="仿宋" w:eastAsia="仿宋_GB2312" w:cs="宋体"/>
          <w:snapToGrid/>
          <w:spacing w:val="-6"/>
          <w:kern w:val="0"/>
          <w:sz w:val="32"/>
          <w:szCs w:val="32"/>
          <w:lang w:val="en-US" w:eastAsia="zh-CN" w:bidi="ar"/>
        </w:rPr>
        <w:t>物价部门应</w:t>
      </w:r>
      <w:r>
        <w:rPr>
          <w:rFonts w:hint="eastAsia" w:ascii="仿宋_GB2312" w:hAnsi="仿宋" w:eastAsia="仿宋_GB2312" w:cs="仿宋_GB2312"/>
          <w:snapToGrid/>
          <w:spacing w:val="-6"/>
          <w:kern w:val="2"/>
          <w:sz w:val="32"/>
          <w:szCs w:val="32"/>
          <w:lang w:val="en-US" w:eastAsia="zh-CN" w:bidi="ar"/>
        </w:rPr>
        <w:t>按照“严控成本、保本微利”的原则，遵循全成本核算原则，明确成本边界，定期组织成本核算和监审，动态调整垃圾转运、处置价格，保障垃圾处理产业正常运行。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18" w:firstLineChars="200"/>
        <w:jc w:val="left"/>
        <w:rPr>
          <w:rFonts w:hint="eastAsia" w:ascii="仿宋" w:hAnsi="仿宋" w:eastAsia="仿宋" w:cs="仿宋"/>
          <w:kern w:val="2"/>
          <w:sz w:val="32"/>
          <w:szCs w:val="32"/>
          <w:lang w:val="en-US" w:eastAsia="zh-CN" w:bidi="ar-SA"/>
        </w:rPr>
      </w:pPr>
      <w:r>
        <w:rPr>
          <w:rFonts w:hint="eastAsia" w:ascii="仿宋_GB2312" w:hAnsi="仿宋" w:eastAsia="仿宋_GB2312" w:cs="仿宋_GB2312"/>
          <w:b/>
          <w:bCs w:val="0"/>
          <w:snapToGrid/>
          <w:spacing w:val="-6"/>
          <w:kern w:val="2"/>
          <w:sz w:val="32"/>
          <w:szCs w:val="32"/>
          <w:lang w:val="en-US" w:eastAsia="zh-CN" w:bidi="ar"/>
        </w:rPr>
        <w:t>（三）总结推广经验。</w:t>
      </w:r>
      <w:r>
        <w:rPr>
          <w:rFonts w:hint="eastAsia" w:ascii="仿宋_GB2312" w:hAnsi="仿宋" w:eastAsia="仿宋_GB2312" w:cs="仿宋_GB2312"/>
          <w:snapToGrid/>
          <w:spacing w:val="-6"/>
          <w:kern w:val="2"/>
          <w:sz w:val="32"/>
          <w:szCs w:val="32"/>
          <w:lang w:val="en-US" w:eastAsia="zh-CN" w:bidi="ar"/>
        </w:rPr>
        <w:t>鼓励环境污染第三方治理、政府和社会资本合作（PPP）模式应用试点，选择条件成熟、典型项目先行先试。相关部门密切跟踪改革进展情况，协调解决工作中的困难和问题，并及时总结推广成熟经验和做法</w:t>
      </w:r>
      <w:r>
        <w:rPr>
          <w:rFonts w:hint="eastAsia" w:ascii="仿宋_GB2312" w:hAnsi="Times New Roman" w:eastAsia="仿宋_GB2312" w:cs="仿宋_GB2312"/>
          <w:snapToGrid/>
          <w:spacing w:val="-6"/>
          <w:kern w:val="2"/>
          <w:sz w:val="32"/>
          <w:szCs w:val="32"/>
          <w:lang w:val="en-US" w:eastAsia="zh-CN" w:bidi="ar"/>
        </w:rPr>
        <w:t>。</w:t>
      </w:r>
    </w:p>
    <w:p>
      <w:pPr>
        <w:ind w:firstLine="640" w:firstLineChars="200"/>
        <w:rPr>
          <w:rFonts w:hint="eastAsia" w:ascii="华文仿宋" w:hAnsi="华文仿宋" w:eastAsia="华文仿宋" w:cs="华文仿宋"/>
          <w:kern w:val="2"/>
          <w:sz w:val="32"/>
          <w:szCs w:val="32"/>
          <w:lang w:val="en-US" w:eastAsia="zh-CN" w:bidi="ar-SA"/>
        </w:rPr>
      </w:pPr>
    </w:p>
    <w:p>
      <w:pPr>
        <w:ind w:firstLine="640" w:firstLineChars="200"/>
        <w:rPr>
          <w:rFonts w:hint="eastAsia" w:ascii="华文仿宋" w:hAnsi="华文仿宋" w:eastAsia="华文仿宋" w:cs="华文仿宋"/>
          <w:kern w:val="2"/>
          <w:sz w:val="32"/>
          <w:szCs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华文仿宋">
    <w:altName w:val="方正仿宋_GBK"/>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D4E89"/>
    <w:rsid w:val="17DD7AB0"/>
    <w:rsid w:val="19C56C76"/>
    <w:rsid w:val="277FFB95"/>
    <w:rsid w:val="32FF3E23"/>
    <w:rsid w:val="34560969"/>
    <w:rsid w:val="35132B14"/>
    <w:rsid w:val="3F7A7018"/>
    <w:rsid w:val="4E824F62"/>
    <w:rsid w:val="504F196C"/>
    <w:rsid w:val="53F7229D"/>
    <w:rsid w:val="5CBF28E1"/>
    <w:rsid w:val="6FD7078C"/>
    <w:rsid w:val="74A42058"/>
    <w:rsid w:val="74DD7518"/>
    <w:rsid w:val="77F5ED16"/>
    <w:rsid w:val="7D45E3B6"/>
    <w:rsid w:val="7FF862F0"/>
    <w:rsid w:val="B7E244D1"/>
    <w:rsid w:val="BFAF8BC2"/>
    <w:rsid w:val="CADCB493"/>
    <w:rsid w:val="CFFD77F0"/>
    <w:rsid w:val="D7EF8CC5"/>
    <w:rsid w:val="FCDEA847"/>
    <w:rsid w:val="FFD75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33333"/>
      <w:sz w:val="24"/>
      <w:szCs w:val="24"/>
      <w:u w:val="none"/>
    </w:rPr>
  </w:style>
  <w:style w:type="character" w:styleId="7">
    <w:name w:val="Emphasis"/>
    <w:basedOn w:val="4"/>
    <w:qFormat/>
    <w:uiPriority w:val="0"/>
  </w:style>
  <w:style w:type="character" w:styleId="8">
    <w:name w:val="Hyperlink"/>
    <w:basedOn w:val="4"/>
    <w:uiPriority w:val="0"/>
    <w:rPr>
      <w:rFonts w:hint="eastAsia" w:ascii="微软雅黑" w:hAnsi="微软雅黑" w:eastAsia="微软雅黑" w:cs="微软雅黑"/>
      <w:color w:val="333333"/>
      <w:sz w:val="24"/>
      <w:szCs w:val="24"/>
      <w:u w:val="none"/>
    </w:rPr>
  </w:style>
  <w:style w:type="character" w:customStyle="1" w:styleId="9">
    <w:name w:val="left"/>
    <w:basedOn w:val="4"/>
    <w:uiPriority w:val="0"/>
  </w:style>
  <w:style w:type="character" w:customStyle="1" w:styleId="10">
    <w:name w:val="riqi"/>
    <w:basedOn w:val="4"/>
    <w:uiPriority w:val="0"/>
  </w:style>
  <w:style w:type="character" w:customStyle="1" w:styleId="11">
    <w:name w:val="leibie"/>
    <w:basedOn w:val="4"/>
    <w:uiPriority w:val="0"/>
  </w:style>
  <w:style w:type="character" w:customStyle="1" w:styleId="12">
    <w:name w:val="sub_tab_span4"/>
    <w:basedOn w:val="4"/>
    <w:uiPriority w:val="0"/>
  </w:style>
  <w:style w:type="character" w:customStyle="1" w:styleId="13">
    <w:name w:val="xxjs"/>
    <w:basedOn w:val="4"/>
    <w:uiPriority w:val="0"/>
    <w:rPr>
      <w:sz w:val="18"/>
      <w:szCs w:val="18"/>
    </w:rPr>
  </w:style>
  <w:style w:type="character" w:customStyle="1" w:styleId="14">
    <w:name w:val="sub_tab_span2"/>
    <w:basedOn w:val="4"/>
    <w:uiPriority w:val="0"/>
  </w:style>
  <w:style w:type="character" w:customStyle="1" w:styleId="15">
    <w:name w:val="bmgk_topic"/>
    <w:basedOn w:val="4"/>
    <w:uiPriority w:val="0"/>
    <w:rPr>
      <w:b/>
      <w:sz w:val="24"/>
      <w:szCs w:val="24"/>
    </w:rPr>
  </w:style>
  <w:style w:type="character" w:customStyle="1" w:styleId="16">
    <w:name w:val="sub_tab_span1"/>
    <w:basedOn w:val="4"/>
    <w:uiPriority w:val="0"/>
  </w:style>
  <w:style w:type="character" w:customStyle="1" w:styleId="17">
    <w:name w:val="fontw"/>
    <w:basedOn w:val="4"/>
    <w:uiPriority w:val="0"/>
    <w:rPr>
      <w:b/>
    </w:rPr>
  </w:style>
  <w:style w:type="character" w:customStyle="1" w:styleId="18">
    <w:name w:val="time"/>
    <w:basedOn w:val="4"/>
    <w:uiPriority w:val="0"/>
  </w:style>
  <w:style w:type="character" w:customStyle="1" w:styleId="19">
    <w:name w:val="shengqr"/>
    <w:basedOn w:val="4"/>
    <w:uiPriority w:val="0"/>
  </w:style>
  <w:style w:type="character" w:customStyle="1" w:styleId="20">
    <w:name w:val="beisqr"/>
    <w:basedOn w:val="4"/>
    <w:uiPriority w:val="0"/>
  </w:style>
  <w:style w:type="character" w:customStyle="1" w:styleId="21">
    <w:name w:val="layui-layer-tabnow"/>
    <w:basedOn w:val="4"/>
    <w:uiPriority w:val="0"/>
    <w:rPr>
      <w:bdr w:val="single" w:color="CCCCCC" w:sz="6" w:space="0"/>
      <w:shd w:val="clear" w:color="auto" w:fill="FFFFFF"/>
    </w:rPr>
  </w:style>
  <w:style w:type="character" w:customStyle="1" w:styleId="22">
    <w:name w:val="doc_title"/>
    <w:basedOn w:val="4"/>
    <w:uiPriority w:val="0"/>
    <w:rPr>
      <w:rFonts w:ascii="方正小标宋简体" w:hAnsi="方正小标宋简体" w:eastAsia="方正小标宋简体" w:cs="方正小标宋简体"/>
      <w:b/>
      <w:sz w:val="42"/>
      <w:szCs w:val="42"/>
    </w:rPr>
  </w:style>
  <w:style w:type="character" w:customStyle="1" w:styleId="23">
    <w:name w:val="djcs"/>
    <w:basedOn w:val="4"/>
    <w:uiPriority w:val="0"/>
    <w:rPr>
      <w:b/>
    </w:rPr>
  </w:style>
  <w:style w:type="character" w:customStyle="1" w:styleId="24">
    <w:name w:val="xxgkform_box"/>
    <w:basedOn w:val="4"/>
    <w:uiPriority w:val="0"/>
    <w:rPr>
      <w:bdr w:val="single" w:color="CCCCCC" w:sz="6" w:space="0"/>
      <w:shd w:val="clear" w:color="auto" w:fill="FFFFFF"/>
    </w:rPr>
  </w:style>
  <w:style w:type="character" w:customStyle="1" w:styleId="25">
    <w:name w:val="disr"/>
    <w:basedOn w:val="4"/>
    <w:uiPriority w:val="0"/>
  </w:style>
  <w:style w:type="character" w:customStyle="1" w:styleId="26">
    <w:name w:val="xxmc"/>
    <w:basedOn w:val="4"/>
    <w:qFormat/>
    <w:uiPriority w:val="0"/>
    <w:rPr>
      <w:b/>
    </w:rPr>
  </w:style>
  <w:style w:type="character" w:customStyle="1" w:styleId="27">
    <w:name w:val="anyou"/>
    <w:basedOn w:val="4"/>
    <w:uiPriority w:val="0"/>
  </w:style>
  <w:style w:type="character" w:customStyle="1" w:styleId="28">
    <w:name w:val="right_title"/>
    <w:basedOn w:val="4"/>
    <w:uiPriority w:val="0"/>
  </w:style>
  <w:style w:type="character" w:customStyle="1" w:styleId="29">
    <w:name w:val="right"/>
    <w:basedOn w:val="4"/>
    <w:uiPriority w:val="0"/>
  </w:style>
  <w:style w:type="character" w:customStyle="1" w:styleId="30">
    <w:name w:val="event"/>
    <w:basedOn w:val="4"/>
    <w:uiPriority w:val="0"/>
  </w:style>
  <w:style w:type="character" w:customStyle="1" w:styleId="31">
    <w:name w:val="anhao"/>
    <w:basedOn w:val="4"/>
    <w:uiPriority w:val="0"/>
  </w:style>
  <w:style w:type="character" w:customStyle="1" w:styleId="32">
    <w:name w:val="sub_tab_span3"/>
    <w:basedOn w:val="4"/>
    <w:uiPriority w:val="0"/>
  </w:style>
  <w:style w:type="character" w:customStyle="1" w:styleId="33">
    <w:name w:val="first-child"/>
    <w:basedOn w:val="4"/>
    <w:uiPriority w:val="0"/>
  </w:style>
  <w:style w:type="character" w:customStyle="1" w:styleId="34">
    <w:name w:val="right_title2"/>
    <w:basedOn w:val="4"/>
    <w:uiPriority w:val="0"/>
    <w:rPr>
      <w:rFonts w:hint="eastAsia" w:ascii="微软雅黑" w:hAnsi="微软雅黑" w:eastAsia="微软雅黑" w:cs="微软雅黑"/>
      <w:b/>
      <w:color w:val="41AC6E"/>
      <w:sz w:val="24"/>
      <w:szCs w:val="24"/>
    </w:rPr>
  </w:style>
  <w:style w:type="character" w:customStyle="1" w:styleId="35">
    <w:name w:val="left_title"/>
    <w:basedOn w:val="4"/>
    <w:uiPriority w:val="0"/>
    <w:rPr>
      <w:rFonts w:ascii="微软雅黑" w:hAnsi="微软雅黑" w:eastAsia="微软雅黑" w:cs="微软雅黑"/>
    </w:rPr>
  </w:style>
  <w:style w:type="character" w:customStyle="1" w:styleId="36">
    <w:name w:val="jielu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user</cp:lastModifiedBy>
  <dcterms:modified xsi:type="dcterms:W3CDTF">2021-06-01T09:05:35Z</dcterms:modified>
  <dc:title>关于征求废止《杭州市区生活垃圾处理运营体制改革指导意见》文件意见的通知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